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10E64" w14:textId="372E49FD" w:rsidR="00A85A31" w:rsidRDefault="00A85A31" w:rsidP="00A85A31">
      <w:pPr>
        <w:spacing w:after="0" w:line="360" w:lineRule="auto"/>
        <w:jc w:val="both"/>
        <w:outlineLvl w:val="0"/>
        <w:rPr>
          <w:rFonts w:ascii="Arial" w:eastAsia="Times New Roman" w:hAnsi="Arial" w:cs="Arial"/>
          <w:bCs/>
          <w:kern w:val="36"/>
          <w:lang w:eastAsia="es-MX"/>
          <w14:ligatures w14:val="none"/>
        </w:rPr>
      </w:pPr>
      <w:r>
        <w:rPr>
          <w:rFonts w:ascii="Arial" w:eastAsia="Times New Roman" w:hAnsi="Arial" w:cs="Arial"/>
          <w:bCs/>
          <w:kern w:val="36"/>
          <w:lang w:eastAsia="es-MX"/>
          <w14:ligatures w14:val="none"/>
        </w:rPr>
        <w:t xml:space="preserve">Bonilla, D. (2025). Editorial. </w:t>
      </w:r>
      <w:r w:rsidRPr="00A85A31">
        <w:rPr>
          <w:rFonts w:ascii="Arial" w:eastAsia="Times New Roman" w:hAnsi="Arial" w:cs="Arial"/>
          <w:bCs/>
          <w:kern w:val="36"/>
          <w:lang w:eastAsia="es-MX"/>
          <w14:ligatures w14:val="none"/>
        </w:rPr>
        <w:t>Educar para lo que aún no existe y el sentido de formar personas en tiempos de incertidumbre radical</w:t>
      </w:r>
      <w:r>
        <w:rPr>
          <w:rFonts w:ascii="Arial" w:eastAsia="Times New Roman" w:hAnsi="Arial" w:cs="Arial"/>
          <w:bCs/>
          <w:kern w:val="36"/>
          <w:lang w:eastAsia="es-MX"/>
          <w14:ligatures w14:val="none"/>
        </w:rPr>
        <w:t xml:space="preserve">. </w:t>
      </w:r>
      <w:r w:rsidRPr="005C5111">
        <w:rPr>
          <w:rFonts w:ascii="Arial" w:hAnsi="Arial" w:cs="Arial"/>
          <w:i/>
        </w:rPr>
        <w:t>Revista Perspectiva Empresarial</w:t>
      </w:r>
      <w:r w:rsidRPr="005C5111">
        <w:rPr>
          <w:rFonts w:ascii="Arial" w:hAnsi="Arial" w:cs="Arial"/>
        </w:rPr>
        <w:t xml:space="preserve">, </w:t>
      </w:r>
      <w:r w:rsidRPr="005C5111">
        <w:rPr>
          <w:rFonts w:ascii="Arial" w:hAnsi="Arial" w:cs="Arial"/>
          <w:i/>
        </w:rPr>
        <w:t>12</w:t>
      </w:r>
      <w:r w:rsidRPr="005C5111">
        <w:rPr>
          <w:rFonts w:ascii="Arial" w:hAnsi="Arial" w:cs="Arial"/>
        </w:rPr>
        <w:t xml:space="preserve">(2), </w:t>
      </w:r>
      <w:r w:rsidRPr="005C5111">
        <w:rPr>
          <w:rFonts w:ascii="Arial" w:hAnsi="Arial" w:cs="Arial"/>
          <w:highlight w:val="yellow"/>
        </w:rPr>
        <w:t>x-x.</w:t>
      </w:r>
    </w:p>
    <w:p w14:paraId="29F710E2" w14:textId="77777777" w:rsidR="00A85A31" w:rsidRDefault="00A85A31" w:rsidP="00A85A31">
      <w:pPr>
        <w:spacing w:after="0" w:line="360" w:lineRule="auto"/>
        <w:jc w:val="both"/>
        <w:outlineLvl w:val="0"/>
        <w:rPr>
          <w:rFonts w:ascii="Arial" w:eastAsia="Times New Roman" w:hAnsi="Arial" w:cs="Arial"/>
          <w:bCs/>
          <w:kern w:val="36"/>
          <w:lang w:eastAsia="es-MX"/>
          <w14:ligatures w14:val="none"/>
        </w:rPr>
      </w:pPr>
    </w:p>
    <w:p w14:paraId="39A5BB70" w14:textId="1671E1FB" w:rsidR="00A85A31" w:rsidRPr="00A85A31" w:rsidRDefault="00A82D37" w:rsidP="00A85A31">
      <w:pPr>
        <w:spacing w:after="0" w:line="360" w:lineRule="auto"/>
        <w:jc w:val="center"/>
        <w:outlineLvl w:val="0"/>
        <w:rPr>
          <w:rFonts w:ascii="Arial" w:eastAsia="Times New Roman" w:hAnsi="Arial" w:cs="Arial"/>
          <w:bCs/>
          <w:kern w:val="36"/>
          <w:lang w:eastAsia="es-MX"/>
          <w14:ligatures w14:val="none"/>
        </w:rPr>
      </w:pPr>
      <w:r w:rsidRPr="00A85A31">
        <w:rPr>
          <w:rFonts w:ascii="Arial" w:eastAsia="Times New Roman" w:hAnsi="Arial" w:cs="Arial"/>
          <w:b/>
          <w:bCs/>
          <w:kern w:val="36"/>
          <w:lang w:eastAsia="es-MX"/>
          <w14:ligatures w14:val="none"/>
        </w:rPr>
        <w:t>Educar para lo que aún no existe</w:t>
      </w:r>
      <w:r w:rsidR="003B38D3" w:rsidRPr="00A85A31">
        <w:rPr>
          <w:rFonts w:ascii="Arial" w:eastAsia="Times New Roman" w:hAnsi="Arial" w:cs="Arial"/>
          <w:b/>
          <w:bCs/>
          <w:kern w:val="36"/>
          <w:lang w:eastAsia="es-MX"/>
          <w14:ligatures w14:val="none"/>
        </w:rPr>
        <w:t xml:space="preserve"> y </w:t>
      </w:r>
      <w:r w:rsidRPr="00A85A31">
        <w:rPr>
          <w:rFonts w:ascii="Arial" w:eastAsia="Times New Roman" w:hAnsi="Arial" w:cs="Arial"/>
          <w:b/>
          <w:bCs/>
          <w:kern w:val="36"/>
          <w:lang w:eastAsia="es-MX"/>
          <w14:ligatures w14:val="none"/>
        </w:rPr>
        <w:t>el sentido de formar personas en tiempos de incertidumbre radical</w:t>
      </w:r>
    </w:p>
    <w:p w14:paraId="7B345B56" w14:textId="77777777" w:rsidR="00A85A31" w:rsidRDefault="00A85A31" w:rsidP="00A85A31">
      <w:pPr>
        <w:spacing w:after="0" w:line="360" w:lineRule="auto"/>
        <w:jc w:val="center"/>
        <w:outlineLvl w:val="0"/>
        <w:rPr>
          <w:rFonts w:ascii="Arial" w:eastAsia="Times New Roman" w:hAnsi="Arial" w:cs="Arial"/>
          <w:b/>
          <w:bCs/>
          <w:kern w:val="36"/>
          <w:lang w:eastAsia="es-MX"/>
          <w14:ligatures w14:val="none"/>
        </w:rPr>
      </w:pPr>
    </w:p>
    <w:p w14:paraId="44024234" w14:textId="7DA0B23F" w:rsidR="00A85A31" w:rsidRPr="00A85A31" w:rsidRDefault="002D1400" w:rsidP="00A85A31">
      <w:pPr>
        <w:spacing w:after="0" w:line="360" w:lineRule="auto"/>
        <w:jc w:val="center"/>
        <w:outlineLvl w:val="0"/>
        <w:rPr>
          <w:rFonts w:ascii="Arial" w:eastAsia="Times New Roman" w:hAnsi="Arial" w:cs="Arial"/>
          <w:b/>
          <w:bCs/>
          <w:iCs/>
          <w:caps/>
          <w:kern w:val="36"/>
          <w:lang w:eastAsia="es-MX"/>
          <w14:ligatures w14:val="none"/>
        </w:rPr>
      </w:pPr>
      <w:r w:rsidRPr="00A85A31">
        <w:rPr>
          <w:rFonts w:ascii="Arial" w:eastAsia="Times New Roman" w:hAnsi="Arial" w:cs="Arial"/>
          <w:b/>
          <w:bCs/>
          <w:iCs/>
          <w:caps/>
          <w:kern w:val="36"/>
          <w:lang w:eastAsia="es-MX"/>
          <w14:ligatures w14:val="none"/>
        </w:rPr>
        <w:t>Daniel Bonilla Calle</w:t>
      </w:r>
      <w:r w:rsidR="00A85A31" w:rsidRPr="00A85A31">
        <w:rPr>
          <w:rStyle w:val="Refdenotaalpie"/>
          <w:rFonts w:ascii="Arial" w:eastAsia="Times New Roman" w:hAnsi="Arial" w:cs="Arial"/>
          <w:b/>
          <w:bCs/>
          <w:iCs/>
          <w:caps/>
          <w:kern w:val="36"/>
          <w:lang w:eastAsia="es-MX"/>
          <w14:ligatures w14:val="none"/>
        </w:rPr>
        <w:footnoteReference w:customMarkFollows="1" w:id="1"/>
        <w:sym w:font="Symbol" w:char="F02A"/>
      </w:r>
    </w:p>
    <w:p w14:paraId="53070082" w14:textId="77777777" w:rsidR="00A85A31" w:rsidRDefault="00A85A31" w:rsidP="00A85A31">
      <w:pPr>
        <w:spacing w:after="0" w:line="360" w:lineRule="auto"/>
        <w:jc w:val="both"/>
        <w:outlineLvl w:val="0"/>
        <w:rPr>
          <w:rFonts w:ascii="Arial" w:eastAsia="Times New Roman" w:hAnsi="Arial" w:cs="Arial"/>
          <w:b/>
          <w:bCs/>
          <w:iCs/>
          <w:kern w:val="36"/>
          <w:lang w:eastAsia="es-MX"/>
          <w14:ligatures w14:val="none"/>
        </w:rPr>
      </w:pPr>
    </w:p>
    <w:p w14:paraId="1396AE99" w14:textId="77777777" w:rsidR="00A85A31" w:rsidRDefault="00A82D37" w:rsidP="00A85A31">
      <w:pPr>
        <w:spacing w:after="0" w:line="360" w:lineRule="auto"/>
        <w:jc w:val="both"/>
        <w:outlineLvl w:val="0"/>
        <w:rPr>
          <w:rFonts w:ascii="Arial" w:eastAsia="Times New Roman" w:hAnsi="Arial" w:cs="Arial"/>
          <w:b/>
          <w:bCs/>
          <w:kern w:val="36"/>
          <w:lang w:eastAsia="es-MX"/>
          <w14:ligatures w14:val="none"/>
        </w:rPr>
      </w:pPr>
      <w:r w:rsidRPr="00A85A31">
        <w:rPr>
          <w:rFonts w:ascii="Arial" w:eastAsia="Times New Roman" w:hAnsi="Arial" w:cs="Arial"/>
          <w:kern w:val="0"/>
          <w:lang w:eastAsia="es-MX"/>
          <w14:ligatures w14:val="none"/>
        </w:rPr>
        <w:t>Hay una paradoja que define el momento actual de la educación superior: preparamos a los jóvenes para un mundo laboral que, con alta probabilidad, no existirá en la forma que hoy conocemos cuando ellos se gradúen. Un estudiante que ingresa hoy a una carrera universitaria se enfrentará, durante sus prácticas o su primer empleo, a un ecosistema empresarial diferente al que encontrará cinco años después. Los ciclos de transformación tecnológica, regulatoria y geopolítica se han acelerado hasta un punto en que la idea misma de "preparar para el trabajo" se ha vuelto insuficiente si no va acompañada de algo más profundo: la capacidad de enfrentar lo desconocido.</w:t>
      </w:r>
    </w:p>
    <w:p w14:paraId="3326C690" w14:textId="77777777" w:rsidR="00A85A31" w:rsidRDefault="00A85A31" w:rsidP="00A85A31">
      <w:pPr>
        <w:spacing w:after="0" w:line="360" w:lineRule="auto"/>
        <w:jc w:val="both"/>
        <w:outlineLvl w:val="0"/>
        <w:rPr>
          <w:rFonts w:ascii="Arial" w:eastAsia="Times New Roman" w:hAnsi="Arial" w:cs="Arial"/>
          <w:b/>
          <w:bCs/>
          <w:kern w:val="36"/>
          <w:lang w:eastAsia="es-MX"/>
          <w14:ligatures w14:val="none"/>
        </w:rPr>
      </w:pPr>
    </w:p>
    <w:p w14:paraId="4B4634E4" w14:textId="16B4DA48" w:rsidR="00A82D37" w:rsidRPr="00A85A31" w:rsidRDefault="00F56CD3" w:rsidP="00A85A31">
      <w:pPr>
        <w:spacing w:after="0" w:line="360" w:lineRule="auto"/>
        <w:jc w:val="both"/>
        <w:outlineLvl w:val="0"/>
        <w:rPr>
          <w:rFonts w:ascii="Arial" w:eastAsia="Times New Roman" w:hAnsi="Arial" w:cs="Arial"/>
          <w:b/>
          <w:bCs/>
          <w:kern w:val="36"/>
          <w:lang w:eastAsia="es-MX"/>
          <w14:ligatures w14:val="none"/>
        </w:rPr>
      </w:pPr>
      <w:r w:rsidRPr="00A85A31">
        <w:rPr>
          <w:rFonts w:ascii="Arial" w:eastAsia="Times New Roman" w:hAnsi="Arial" w:cs="Arial"/>
          <w:kern w:val="0"/>
          <w:lang w:eastAsia="es-MX"/>
          <w14:ligatures w14:val="none"/>
        </w:rPr>
        <w:t xml:space="preserve">El recién fallecido </w:t>
      </w:r>
      <w:r w:rsidR="00A82D37" w:rsidRPr="00A85A31">
        <w:rPr>
          <w:rFonts w:ascii="Arial" w:eastAsia="Times New Roman" w:hAnsi="Arial" w:cs="Arial"/>
          <w:kern w:val="0"/>
          <w:lang w:eastAsia="es-MX"/>
          <w14:ligatures w14:val="none"/>
        </w:rPr>
        <w:t xml:space="preserve">Jacques Delors lo anticipó hace tres décadas cuando presidió la Comisión Internacional sobre la Educación para el Siglo XXI. Su informe </w:t>
      </w:r>
      <w:r w:rsidR="00A82D37" w:rsidRPr="00A85A31">
        <w:rPr>
          <w:rFonts w:ascii="Arial" w:eastAsia="Times New Roman" w:hAnsi="Arial" w:cs="Arial"/>
          <w:i/>
          <w:iCs/>
          <w:kern w:val="0"/>
          <w:lang w:eastAsia="es-MX"/>
          <w14:ligatures w14:val="none"/>
        </w:rPr>
        <w:t>La educación encierra un tesoro</w:t>
      </w:r>
      <w:r w:rsidR="00A82D37" w:rsidRPr="00A85A31">
        <w:rPr>
          <w:rFonts w:ascii="Arial" w:eastAsia="Times New Roman" w:hAnsi="Arial" w:cs="Arial"/>
          <w:kern w:val="0"/>
          <w:lang w:eastAsia="es-MX"/>
          <w14:ligatures w14:val="none"/>
        </w:rPr>
        <w:t xml:space="preserve"> (Delors, 1996) no solo propuso cuatro pilares</w:t>
      </w:r>
      <w:r w:rsidR="00402717" w:rsidRPr="00A85A31">
        <w:rPr>
          <w:rFonts w:ascii="Arial" w:eastAsia="Times New Roman" w:hAnsi="Arial" w:cs="Arial"/>
          <w:kern w:val="0"/>
          <w:lang w:eastAsia="es-MX"/>
          <w14:ligatures w14:val="none"/>
        </w:rPr>
        <w:t xml:space="preserve">: </w:t>
      </w:r>
      <w:r w:rsidR="00A82D37" w:rsidRPr="00A85A31">
        <w:rPr>
          <w:rFonts w:ascii="Arial" w:eastAsia="Times New Roman" w:hAnsi="Arial" w:cs="Arial"/>
          <w:kern w:val="0"/>
          <w:lang w:eastAsia="es-MX"/>
          <w14:ligatures w14:val="none"/>
        </w:rPr>
        <w:t>aprender a conocer, aprender a hacer, aprender a vivir juntos y aprender a se</w:t>
      </w:r>
      <w:r w:rsidR="00402717" w:rsidRPr="00A85A31">
        <w:rPr>
          <w:rFonts w:ascii="Arial" w:eastAsia="Times New Roman" w:hAnsi="Arial" w:cs="Arial"/>
          <w:kern w:val="0"/>
          <w:lang w:eastAsia="es-MX"/>
          <w14:ligatures w14:val="none"/>
        </w:rPr>
        <w:t>r;</w:t>
      </w:r>
      <w:r w:rsidR="00A82D37" w:rsidRPr="00A85A31">
        <w:rPr>
          <w:rFonts w:ascii="Arial" w:eastAsia="Times New Roman" w:hAnsi="Arial" w:cs="Arial"/>
          <w:kern w:val="0"/>
          <w:lang w:eastAsia="es-MX"/>
          <w14:ligatures w14:val="none"/>
        </w:rPr>
        <w:t xml:space="preserve"> sino que advirtió que la evolución del mercado laboral "no es totalmente previsible" (p. 96) y que, por tanto, la educación no podía limitarse a transmitir destrezas técnicas. El cuarto pilar, </w:t>
      </w:r>
      <w:r w:rsidR="00A82D37" w:rsidRPr="00A85A31">
        <w:rPr>
          <w:rFonts w:ascii="Arial" w:eastAsia="Times New Roman" w:hAnsi="Arial" w:cs="Arial"/>
          <w:i/>
          <w:iCs/>
          <w:kern w:val="0"/>
          <w:lang w:eastAsia="es-MX"/>
          <w14:ligatures w14:val="none"/>
        </w:rPr>
        <w:t>aprender a ser</w:t>
      </w:r>
      <w:r w:rsidR="00A82D37" w:rsidRPr="00A85A31">
        <w:rPr>
          <w:rFonts w:ascii="Arial" w:eastAsia="Times New Roman" w:hAnsi="Arial" w:cs="Arial"/>
          <w:kern w:val="0"/>
          <w:lang w:eastAsia="es-MX"/>
          <w14:ligatures w14:val="none"/>
        </w:rPr>
        <w:t xml:space="preserve">, apuntaba directamente al desarrollo integral de la persona como condición para navegar un futuro incierto. Casi treinta años después, </w:t>
      </w:r>
      <w:r w:rsidR="00A82D37" w:rsidRPr="00A85A31">
        <w:rPr>
          <w:rFonts w:ascii="Arial" w:eastAsia="Times New Roman" w:hAnsi="Arial" w:cs="Arial"/>
          <w:kern w:val="0"/>
          <w:lang w:eastAsia="es-MX"/>
          <w14:ligatures w14:val="none"/>
        </w:rPr>
        <w:lastRenderedPageBreak/>
        <w:t>esa incertidumbre no ha hecho más que intensificarse con la irrupción de la inteligencia artificial generativa, y sin embargo seguimos discutiendo la educación como si el problema fuera solamente técnico.</w:t>
      </w:r>
    </w:p>
    <w:p w14:paraId="12E79F9D" w14:textId="77777777" w:rsidR="00A85A31" w:rsidRDefault="00A85A31" w:rsidP="00A85A31">
      <w:pPr>
        <w:spacing w:after="0" w:line="360" w:lineRule="auto"/>
        <w:jc w:val="both"/>
        <w:outlineLvl w:val="1"/>
        <w:rPr>
          <w:rFonts w:ascii="Arial" w:eastAsia="Times New Roman" w:hAnsi="Arial" w:cs="Arial"/>
          <w:b/>
          <w:bCs/>
          <w:kern w:val="0"/>
          <w:lang w:eastAsia="es-MX"/>
          <w14:ligatures w14:val="none"/>
        </w:rPr>
      </w:pPr>
    </w:p>
    <w:p w14:paraId="5F67EE83" w14:textId="719C43F2" w:rsidR="00A82D37" w:rsidRPr="00A85A31" w:rsidRDefault="00A82D37" w:rsidP="00A85A31">
      <w:pPr>
        <w:spacing w:after="0" w:line="360" w:lineRule="auto"/>
        <w:jc w:val="both"/>
        <w:outlineLvl w:val="1"/>
        <w:rPr>
          <w:rFonts w:ascii="Arial" w:eastAsia="Times New Roman" w:hAnsi="Arial" w:cs="Arial"/>
          <w:b/>
          <w:bCs/>
          <w:kern w:val="0"/>
          <w:lang w:eastAsia="es-MX"/>
          <w14:ligatures w14:val="none"/>
        </w:rPr>
      </w:pPr>
      <w:r w:rsidRPr="00A85A31">
        <w:rPr>
          <w:rFonts w:ascii="Arial" w:eastAsia="Times New Roman" w:hAnsi="Arial" w:cs="Arial"/>
          <w:b/>
          <w:bCs/>
          <w:kern w:val="0"/>
          <w:lang w:eastAsia="es-MX"/>
          <w14:ligatures w14:val="none"/>
        </w:rPr>
        <w:t>La inteligencia artificial como catalizador, no como destino</w:t>
      </w:r>
    </w:p>
    <w:p w14:paraId="55182EBD"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3135EFB5" w14:textId="5AE317E2"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La IA ha entrado en la universidad con la fuerza de un fenómeno que acapara titulares pero cuya profundidad no siempre se comprende. Como señalan Pireci Sejdiu y Sejdiu (2025), la transformación que está ocurriendo en las aulas es "silenciosa pero profunda": los estudiantes utilizan herramientas de IA generativa como algo tan cotidiano como el wifi, mientras muchos docentes se encuentran al otro lado de una brecha digital creciente. La pregunta que estos autores formulan </w:t>
      </w:r>
      <w:r w:rsidR="00370610" w:rsidRPr="00A85A31">
        <w:rPr>
          <w:rFonts w:ascii="Arial" w:eastAsia="Times New Roman" w:hAnsi="Arial" w:cs="Arial"/>
          <w:kern w:val="0"/>
          <w:lang w:eastAsia="es-MX"/>
          <w14:ligatures w14:val="none"/>
        </w:rPr>
        <w:t xml:space="preserve">es </w:t>
      </w:r>
      <w:r w:rsidRPr="00A85A31">
        <w:rPr>
          <w:rFonts w:ascii="Arial" w:eastAsia="Times New Roman" w:hAnsi="Arial" w:cs="Arial"/>
          <w:kern w:val="0"/>
          <w:lang w:eastAsia="es-MX"/>
          <w14:ligatures w14:val="none"/>
        </w:rPr>
        <w:t>necesaria: ¿seguimos enseñando a pensar o simplemente a generar prompts?</w:t>
      </w:r>
    </w:p>
    <w:p w14:paraId="7D39BD9B" w14:textId="3CA8580D"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AlBlooshi (2026), </w:t>
      </w:r>
      <w:r w:rsidR="006331EA" w:rsidRPr="00A85A31">
        <w:rPr>
          <w:rFonts w:ascii="Arial" w:eastAsia="Times New Roman" w:hAnsi="Arial" w:cs="Arial"/>
          <w:kern w:val="0"/>
          <w:lang w:eastAsia="es-MX"/>
          <w14:ligatures w14:val="none"/>
        </w:rPr>
        <w:t xml:space="preserve"> en un </w:t>
      </w:r>
      <w:r w:rsidR="00101DDB" w:rsidRPr="00A85A31">
        <w:rPr>
          <w:rFonts w:ascii="Arial" w:eastAsia="Times New Roman" w:hAnsi="Arial" w:cs="Arial"/>
          <w:kern w:val="0"/>
          <w:lang w:eastAsia="es-MX"/>
          <w14:ligatures w14:val="none"/>
        </w:rPr>
        <w:t>artículo</w:t>
      </w:r>
      <w:r w:rsidRPr="00A85A31">
        <w:rPr>
          <w:rFonts w:ascii="Arial" w:eastAsia="Times New Roman" w:hAnsi="Arial" w:cs="Arial"/>
          <w:kern w:val="0"/>
          <w:lang w:eastAsia="es-MX"/>
          <w14:ligatures w14:val="none"/>
        </w:rPr>
        <w:t xml:space="preserve"> publicad</w:t>
      </w:r>
      <w:r w:rsidR="006331EA" w:rsidRPr="00A85A31">
        <w:rPr>
          <w:rFonts w:ascii="Arial" w:eastAsia="Times New Roman" w:hAnsi="Arial" w:cs="Arial"/>
          <w:kern w:val="0"/>
          <w:lang w:eastAsia="es-MX"/>
          <w14:ligatures w14:val="none"/>
        </w:rPr>
        <w:t>o</w:t>
      </w:r>
      <w:r w:rsidRPr="00A85A31">
        <w:rPr>
          <w:rFonts w:ascii="Arial" w:eastAsia="Times New Roman" w:hAnsi="Arial" w:cs="Arial"/>
          <w:kern w:val="0"/>
          <w:lang w:eastAsia="es-MX"/>
          <w14:ligatures w14:val="none"/>
        </w:rPr>
        <w:t xml:space="preserve"> en </w:t>
      </w:r>
      <w:r w:rsidRPr="00A85A31">
        <w:rPr>
          <w:rFonts w:ascii="Arial" w:eastAsia="Times New Roman" w:hAnsi="Arial" w:cs="Arial"/>
          <w:i/>
          <w:iCs/>
          <w:kern w:val="0"/>
          <w:lang w:eastAsia="es-MX"/>
          <w14:ligatures w14:val="none"/>
        </w:rPr>
        <w:t>Frontiers in Education</w:t>
      </w:r>
      <w:r w:rsidRPr="00A85A31">
        <w:rPr>
          <w:rFonts w:ascii="Arial" w:eastAsia="Times New Roman" w:hAnsi="Arial" w:cs="Arial"/>
          <w:kern w:val="0"/>
          <w:lang w:eastAsia="es-MX"/>
          <w14:ligatures w14:val="none"/>
        </w:rPr>
        <w:t>, documenta tanto las oportunidades como los riesgos: personalización del aprendizaje, automatización de tareas administrativas, soporte a la investigación, pero también erosión de la integridad académica, propagación de sesgos algorítmicos y una dependencia creciente que puede atrofiar las capacidades cognitivas que la educación debería fortalecer. El punto crítico no es si la IA será parte de la universidad</w:t>
      </w:r>
      <w:r w:rsidR="00101DDB"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eastAsia="es-MX"/>
          <w14:ligatures w14:val="none"/>
        </w:rPr>
        <w:t>ya lo es, sino qué tipo de universidad queremos construir con ella y, sobre todo, qué tipo de seres humanos queremos formar.</w:t>
      </w:r>
    </w:p>
    <w:p w14:paraId="1291CE89"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2B2BCEC2" w14:textId="1BC5E93F"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Es aquí donde conviene recordar que la llamada "Cuarta Revolución Industrial" llenó portadas, foros y planes estratégicos universitarios durante más de una década. Hoy nadie la menciona. La IA, que era apenas un capítulo de aquella narrativa, se comió el libro entero y escribió uno nuevo. OpenAI acaba de publicar un documento de política industrial que propone nada menos que un nuevo contrato social para la era de la superinteligencia, incluyendo fondos públicos de riqueza, semanas laborales de cuatro días y el concepto de un "derecho a la IA" equiparable al acceso a la electricidad (OpenAI, 2026). Mientras tanto, la universidad sigue debatiendo si permite o prohíbe ChatGPT en los exámenes. La distancia entre la velocidad del </w:t>
      </w:r>
      <w:r w:rsidRPr="00A85A31">
        <w:rPr>
          <w:rFonts w:ascii="Arial" w:eastAsia="Times New Roman" w:hAnsi="Arial" w:cs="Arial"/>
          <w:kern w:val="0"/>
          <w:lang w:eastAsia="es-MX"/>
          <w14:ligatures w14:val="none"/>
        </w:rPr>
        <w:lastRenderedPageBreak/>
        <w:t>cambio y la velocidad de la respuesta institucional es, en sí misma, un problema educativo.</w:t>
      </w:r>
    </w:p>
    <w:p w14:paraId="5252DA59" w14:textId="77777777" w:rsidR="00A85A31" w:rsidRDefault="00A85A31" w:rsidP="00A85A31">
      <w:pPr>
        <w:spacing w:after="0" w:line="360" w:lineRule="auto"/>
        <w:jc w:val="both"/>
        <w:outlineLvl w:val="1"/>
        <w:rPr>
          <w:rFonts w:ascii="Arial" w:eastAsia="Times New Roman" w:hAnsi="Arial" w:cs="Arial"/>
          <w:b/>
          <w:bCs/>
          <w:kern w:val="0"/>
          <w:lang w:eastAsia="es-MX"/>
          <w14:ligatures w14:val="none"/>
        </w:rPr>
      </w:pPr>
    </w:p>
    <w:p w14:paraId="4AA7AE16" w14:textId="7EAD1D88" w:rsidR="00A82D37" w:rsidRPr="00A85A31" w:rsidRDefault="00A82D37" w:rsidP="00A85A31">
      <w:pPr>
        <w:spacing w:after="0" w:line="360" w:lineRule="auto"/>
        <w:jc w:val="both"/>
        <w:outlineLvl w:val="1"/>
        <w:rPr>
          <w:rFonts w:ascii="Arial" w:eastAsia="Times New Roman" w:hAnsi="Arial" w:cs="Arial"/>
          <w:b/>
          <w:bCs/>
          <w:kern w:val="0"/>
          <w:lang w:eastAsia="es-MX"/>
          <w14:ligatures w14:val="none"/>
        </w:rPr>
      </w:pPr>
      <w:r w:rsidRPr="00A85A31">
        <w:rPr>
          <w:rFonts w:ascii="Arial" w:eastAsia="Times New Roman" w:hAnsi="Arial" w:cs="Arial"/>
          <w:b/>
          <w:bCs/>
          <w:kern w:val="0"/>
          <w:lang w:eastAsia="es-MX"/>
          <w14:ligatures w14:val="none"/>
        </w:rPr>
        <w:t>Problemas constantes en un mundo acelerado</w:t>
      </w:r>
    </w:p>
    <w:p w14:paraId="4CDDEAD3"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1DCE5205" w14:textId="4F8F708F"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Ahora bien, si miramos con mayor detenimiento, hay problemas que parecen constantes aunque se manifiesten de formas nuevas. El manejo de la incertidumbre, que Delors (1996) identificaba como un desafío central, no ha dejado de serlo; se ha acelerado. Las habilidades blandas</w:t>
      </w:r>
      <w:r w:rsidR="00116615"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eastAsia="es-MX"/>
          <w14:ligatures w14:val="none"/>
        </w:rPr>
        <w:t>comunicación, trabajo colaborativo, pensamiento crítico, gestión emocional</w:t>
      </w:r>
      <w:r w:rsidR="00116615" w:rsidRPr="00A85A31">
        <w:rPr>
          <w:rFonts w:ascii="Arial" w:eastAsia="Times New Roman" w:hAnsi="Arial" w:cs="Arial"/>
          <w:kern w:val="0"/>
          <w:lang w:eastAsia="es-MX"/>
          <w14:ligatures w14:val="none"/>
        </w:rPr>
        <w:t>;</w:t>
      </w:r>
      <w:r w:rsidRPr="00A85A31">
        <w:rPr>
          <w:rFonts w:ascii="Arial" w:eastAsia="Times New Roman" w:hAnsi="Arial" w:cs="Arial"/>
          <w:kern w:val="0"/>
          <w:lang w:eastAsia="es-MX"/>
          <w14:ligatures w14:val="none"/>
        </w:rPr>
        <w:t xml:space="preserve"> que en los años noventa se presentaban como complementarias al saber técnico, hoy se revelan como la infraestructura misma de la empleabilidad y, más importante aún, de la capacidad de agencia de las personas. Como observa González Serrano (2026) desde su experiencia docente, "no se trata de enseñar pensamiento crítico, que puede ser tan dogmático como otra competencia cualquiera, sino de hacer ver al alumnado que es posible desarrollar un criterio propio sobre la realidad" (entrevista en prensa).</w:t>
      </w:r>
    </w:p>
    <w:p w14:paraId="5C2CAD64"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0F2D3CFF" w14:textId="7886886D"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Esta distinción es fundamental. El mercado demanda "habilidades", pero lo que realmente necesita</w:t>
      </w:r>
      <w:r w:rsidR="00DB697E"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eastAsia="es-MX"/>
          <w14:ligatures w14:val="none"/>
        </w:rPr>
        <w:t>aunque no siempre lo sepa formular</w:t>
      </w:r>
      <w:r w:rsidR="00DB697E"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eastAsia="es-MX"/>
          <w14:ligatures w14:val="none"/>
        </w:rPr>
        <w:t xml:space="preserve"> son personas capaces de plantear las preguntas adecuadas frente a problemas que aún no tienen nombre. La UNESCO, en su informe </w:t>
      </w:r>
      <w:r w:rsidRPr="00A85A31">
        <w:rPr>
          <w:rFonts w:ascii="Arial" w:eastAsia="Times New Roman" w:hAnsi="Arial" w:cs="Arial"/>
          <w:i/>
          <w:iCs/>
          <w:kern w:val="0"/>
          <w:lang w:eastAsia="es-MX"/>
          <w14:ligatures w14:val="none"/>
        </w:rPr>
        <w:t>Reimagining Our Futures Together</w:t>
      </w:r>
      <w:r w:rsidRPr="00A85A31">
        <w:rPr>
          <w:rFonts w:ascii="Arial" w:eastAsia="Times New Roman" w:hAnsi="Arial" w:cs="Arial"/>
          <w:kern w:val="0"/>
          <w:lang w:eastAsia="es-MX"/>
          <w14:ligatures w14:val="none"/>
        </w:rPr>
        <w:t xml:space="preserve"> (2021), lo expresa con claridad al proponer un nuevo contrato social para la educación que trascienda las estrechas suposiciones basadas en el mercado y oriente la formación hacia propósitos compartidos de bienestar. No se trata de ignorar el mercado laboral, sino de entender que la educación superior tiene una responsabilidad que lo excede: enseñar no solo cómo trabajar, sino cómo mejorar el trabajo, cómo innovarlo, cómo crear empleos y negocios que hoy no existen.</w:t>
      </w:r>
    </w:p>
    <w:p w14:paraId="117E6C54" w14:textId="77777777" w:rsidR="00334C17" w:rsidRPr="00A85A31" w:rsidRDefault="00334C17" w:rsidP="00A85A31">
      <w:pPr>
        <w:spacing w:after="0" w:line="360" w:lineRule="auto"/>
        <w:jc w:val="both"/>
        <w:rPr>
          <w:rFonts w:ascii="Arial" w:eastAsia="Times New Roman" w:hAnsi="Arial" w:cs="Arial"/>
          <w:kern w:val="0"/>
          <w:lang w:eastAsia="es-MX"/>
          <w14:ligatures w14:val="none"/>
        </w:rPr>
      </w:pPr>
    </w:p>
    <w:p w14:paraId="1F756433" w14:textId="419241DB" w:rsidR="00A82D37" w:rsidRPr="00A85A31" w:rsidRDefault="00BC4A8F"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Dicho proceso, toma tiempo, algo difícil de encontrar hoy en medio de tanto caos. </w:t>
      </w:r>
      <w:r w:rsidR="00A82D37" w:rsidRPr="00A85A31">
        <w:rPr>
          <w:rFonts w:ascii="Arial" w:eastAsia="Times New Roman" w:hAnsi="Arial" w:cs="Arial"/>
          <w:kern w:val="0"/>
          <w:lang w:eastAsia="es-MX"/>
          <w14:ligatures w14:val="none"/>
        </w:rPr>
        <w:t xml:space="preserve">Una de las presiones más persistentes sobre la universidad contemporánea proviene de la demanda del mercado por reducir la duración de las carreras y </w:t>
      </w:r>
      <w:r w:rsidR="00A82D37" w:rsidRPr="00A85A31">
        <w:rPr>
          <w:rFonts w:ascii="Arial" w:eastAsia="Times New Roman" w:hAnsi="Arial" w:cs="Arial"/>
          <w:kern w:val="0"/>
          <w:lang w:eastAsia="es-MX"/>
          <w14:ligatures w14:val="none"/>
        </w:rPr>
        <w:lastRenderedPageBreak/>
        <w:t>entregar profesionales que lleguen sabiendo exactamente lo que necesitan saber para su primer empleo. Esta visión, aparentemente pragmática, esconde una falacia profunda. Acortar un currículo no garantiza que el egresado sea más competente; en muchos casos, solo garantiza que sea menos preparado para lo inesperado.</w:t>
      </w:r>
    </w:p>
    <w:p w14:paraId="03CC55C8"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7591C540" w14:textId="3904AF78"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González Serrano (2026) lo formula sin ambigüedades: "No puede haber habilidad sin conocimiento. Esta obsesión por las habilidades y las destrezas ha degenerado en una pedagogía vacía en la que se habla de aprender a aprender pero se olvida el contenido del aprendizaje". La dicotomía entre conocimiento y habilidades es, en efecto, engañosa. Un ingeniero que aprendió a usar una herramienta de software pero no comprende los principios físicos que subyacen a sus cálculos será obsoleto en cuanto cambie la herramienta. Un administrador que domina una metodología ágil pero no entiende la dinámica del poder en las organizaciones fracasará cuando el contexto le exija algo que el manual no previó.</w:t>
      </w:r>
    </w:p>
    <w:p w14:paraId="0DC08041"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74492873" w14:textId="51037C33"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Nussbaum (2010) ya advertía que la educación subordinada exclusivamente a la productividad económica sacrifica las capacidades democráticas de los ciudadanos. Su argumento sigue siendo vigente: "La libertad de pensamiento en el estudiante resulta peligrosa si lo que se pretende es obtener un grupo de trabajadores obedientes con capacitación técnica" (p. 47). Las instituciones pueden y deben</w:t>
      </w:r>
      <w:r w:rsidR="00DA459C"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eastAsia="es-MX"/>
          <w14:ligatures w14:val="none"/>
        </w:rPr>
        <w:t>revisar y actualizar sus currículos, eliminar redundancias, integrar nuevas herramientas y metodologías. Pero esto es muy diferente a la lógica de la fábrica aplicada a la universidad, donde el perfil de salida del estudiante se diseña como una especificación técnica para satisfacer la demanda inmediata de un empleador. La educación superior no es solo para educar para el trabajo; es también para enseñar cómo transformarlo.</w:t>
      </w:r>
    </w:p>
    <w:p w14:paraId="3328BF71"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18B1D3E6" w14:textId="2D04FB48"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Un elemento frecuentemente ausente en el debate sobre la modernización universitaria es el papel de la investigación científica contextualizada y aplicada. Si la universidad ha de formar personas capaces de resolver problemas que hoy no existen, necesita profesores que estén generando nuevo conocimiento, no solo </w:t>
      </w:r>
      <w:r w:rsidRPr="00A85A31">
        <w:rPr>
          <w:rFonts w:ascii="Arial" w:eastAsia="Times New Roman" w:hAnsi="Arial" w:cs="Arial"/>
          <w:kern w:val="0"/>
          <w:lang w:eastAsia="es-MX"/>
          <w14:ligatures w14:val="none"/>
        </w:rPr>
        <w:lastRenderedPageBreak/>
        <w:t>repitiendo el que ya existe. La investigación no es un lujo académico ni un requisito burocrático para escalafones: es la actividad que permite al docente mantenerse en la frontera del saber y, desde allí, ofrecer a los estudiantes herramientas actualizadas, relevantes y conectadas con los problemas reales de su entorno.</w:t>
      </w:r>
    </w:p>
    <w:p w14:paraId="1E1F84A1"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791AEFA0" w14:textId="3D451410"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La UNESCO (2021) lo subraya al proponer que "producir conocimiento, reflexión e investigación debería ser parte integral de la enseñanza" y que "los docentes deberían ser reconocidos y apoyados como aprendices intelectualmente comprometidos que identifican nuevas áreas de indagación e innovación" (p. 82). Cuando un profesor investiga de manera constante y contextualizada —es decir, conectada con las necesidades de su territorio, su industria, su comunidad, no solo genera publicaciones: genera recursos pedagógicos vivos que los estudiantes pueden aplicar, cuestionar y extender. Esta retroalimentación entre investigación y docencia es lo que distingue a una universidad de un centro de entrenamiento técnico</w:t>
      </w:r>
      <w:r w:rsidR="0012024A" w:rsidRPr="00A85A31">
        <w:rPr>
          <w:rFonts w:ascii="Arial" w:eastAsia="Times New Roman" w:hAnsi="Arial" w:cs="Arial"/>
          <w:kern w:val="0"/>
          <w:lang w:eastAsia="es-MX"/>
          <w14:ligatures w14:val="none"/>
        </w:rPr>
        <w:t xml:space="preserve">, que están más concebidos para la </w:t>
      </w:r>
      <w:r w:rsidR="004C37F5" w:rsidRPr="00A85A31">
        <w:rPr>
          <w:rFonts w:ascii="Arial" w:eastAsia="Times New Roman" w:hAnsi="Arial" w:cs="Arial"/>
          <w:kern w:val="0"/>
          <w:lang w:eastAsia="es-MX"/>
          <w14:ligatures w14:val="none"/>
        </w:rPr>
        <w:t>inmediatez.</w:t>
      </w:r>
    </w:p>
    <w:p w14:paraId="56F19693" w14:textId="77777777" w:rsidR="00A85A31" w:rsidRDefault="00A85A31" w:rsidP="00A85A31">
      <w:pPr>
        <w:spacing w:after="0" w:line="360" w:lineRule="auto"/>
        <w:jc w:val="both"/>
        <w:outlineLvl w:val="1"/>
        <w:rPr>
          <w:rFonts w:ascii="Arial" w:eastAsia="Times New Roman" w:hAnsi="Arial" w:cs="Arial"/>
          <w:b/>
          <w:bCs/>
          <w:kern w:val="0"/>
          <w:lang w:eastAsia="es-MX"/>
          <w14:ligatures w14:val="none"/>
        </w:rPr>
      </w:pPr>
    </w:p>
    <w:p w14:paraId="1967BB7F" w14:textId="3A2FCDA9" w:rsidR="00A82D37" w:rsidRPr="00A85A31" w:rsidRDefault="00A82D37" w:rsidP="00A85A31">
      <w:pPr>
        <w:spacing w:after="0" w:line="360" w:lineRule="auto"/>
        <w:jc w:val="both"/>
        <w:outlineLvl w:val="1"/>
        <w:rPr>
          <w:rFonts w:ascii="Arial" w:eastAsia="Times New Roman" w:hAnsi="Arial" w:cs="Arial"/>
          <w:b/>
          <w:bCs/>
          <w:kern w:val="0"/>
          <w:lang w:eastAsia="es-MX"/>
          <w14:ligatures w14:val="none"/>
        </w:rPr>
      </w:pPr>
      <w:r w:rsidRPr="00A85A31">
        <w:rPr>
          <w:rFonts w:ascii="Arial" w:eastAsia="Times New Roman" w:hAnsi="Arial" w:cs="Arial"/>
          <w:b/>
          <w:bCs/>
          <w:kern w:val="0"/>
          <w:lang w:eastAsia="es-MX"/>
          <w14:ligatures w14:val="none"/>
        </w:rPr>
        <w:t>Hacia el desarrollo del ser: más allá de la empleabilidad</w:t>
      </w:r>
    </w:p>
    <w:p w14:paraId="2C91EAD6"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3B90C00B" w14:textId="0D2A5880" w:rsidR="00A82D37" w:rsidRPr="00A85A31" w:rsidRDefault="004C37F5"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Si bien estas concepciones filosóficas y que podían tornarse idealistas, </w:t>
      </w:r>
      <w:r w:rsidR="00787F62" w:rsidRPr="00A85A31">
        <w:rPr>
          <w:rFonts w:ascii="Arial" w:eastAsia="Times New Roman" w:hAnsi="Arial" w:cs="Arial"/>
          <w:kern w:val="0"/>
          <w:lang w:eastAsia="es-MX"/>
          <w14:ligatures w14:val="none"/>
        </w:rPr>
        <w:t>en la actualidad</w:t>
      </w:r>
      <w:r w:rsidR="00910EE6" w:rsidRPr="00A85A31">
        <w:rPr>
          <w:rFonts w:ascii="Arial" w:eastAsia="Times New Roman" w:hAnsi="Arial" w:cs="Arial"/>
          <w:kern w:val="0"/>
          <w:lang w:eastAsia="es-MX"/>
          <w14:ligatures w14:val="none"/>
        </w:rPr>
        <w:t>,</w:t>
      </w:r>
      <w:r w:rsidR="00787F62" w:rsidRPr="00A85A31">
        <w:rPr>
          <w:rFonts w:ascii="Arial" w:eastAsia="Times New Roman" w:hAnsi="Arial" w:cs="Arial"/>
          <w:kern w:val="0"/>
          <w:lang w:eastAsia="es-MX"/>
          <w14:ligatures w14:val="none"/>
        </w:rPr>
        <w:t xml:space="preserve"> l</w:t>
      </w:r>
      <w:r w:rsidR="00A82D37" w:rsidRPr="00A85A31">
        <w:rPr>
          <w:rFonts w:ascii="Arial" w:eastAsia="Times New Roman" w:hAnsi="Arial" w:cs="Arial"/>
          <w:kern w:val="0"/>
          <w:lang w:eastAsia="es-MX"/>
          <w14:ligatures w14:val="none"/>
        </w:rPr>
        <w:t>as corrientes pedagógicas contemporáneas apuntan cada vez con más fuerza hacia el desarrollo integral del ser como horizonte formativo. No se trata de un idealismo ingenuo sino de una respuesta pragmática a la evidencia: los profesionales que mejor navegan entornos cambiantes no son necesariamente los que acumularon más certificaciones técnicas, sino los que desarrollaron capacidad de juicio, resiliencia ante la ambigüedad, sentido ético y habilidad para aprender de forma autónoma a lo largo de la vida.</w:t>
      </w:r>
    </w:p>
    <w:p w14:paraId="71AF558F"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3B2435B8" w14:textId="74EAE064"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González Serrano (2026) lo expresa con una imagen poderosa: "Estamos construyendo sociedades muy eficientes, pero profundamente desorientadas; sabemos hacer muchas cosas, pero no sabemos muy bien para qué hacemos lo que hacemos". La educación que solo entrena para la eficiencia produce, </w:t>
      </w:r>
      <w:r w:rsidRPr="00A85A31">
        <w:rPr>
          <w:rFonts w:ascii="Arial" w:eastAsia="Times New Roman" w:hAnsi="Arial" w:cs="Arial"/>
          <w:kern w:val="0"/>
          <w:lang w:eastAsia="es-MX"/>
          <w14:ligatures w14:val="none"/>
        </w:rPr>
        <w:lastRenderedPageBreak/>
        <w:t>paradójicamente, profesionales frágiles. Cuando el contexto cambia y la IA garantiza que lo hará cada vez más rápido—, quien solo aprendió a ejecutar se queda sin brújula. Quien aprendió a pensar, a imaginar, a cuestionar, tiene los recursos internos para reconstruir su camino.</w:t>
      </w:r>
    </w:p>
    <w:p w14:paraId="31BDE3A4"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772DB7DF" w14:textId="6E724B41"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Salvayre (2026), desde la tradición literaria francesa, aporta una dimensión complementaria al reivindicar lo que llama la "pereza decidida": no la inacción, sino la resistencia deliberada contra una lógica productivista que ha colonizado hasta el tiempo libre. Su distinción entre "trabajo-paciencia" y "trabajo-servidumbre" resuena con lo que la universidad debería ofrecer: un espacio donde el conocimiento no se mide por su rentabilidad inmediata sino por su capacidad de ampliar horizontes.</w:t>
      </w:r>
    </w:p>
    <w:p w14:paraId="202D3E95"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37E55F68" w14:textId="5CD2DB20" w:rsidR="00A82D37" w:rsidRPr="00A85A31" w:rsidRDefault="00995966"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A manera de conclusión, se ve como</w:t>
      </w:r>
      <w:r w:rsidRPr="00A85A31">
        <w:rPr>
          <w:rFonts w:ascii="Arial" w:eastAsia="Times New Roman" w:hAnsi="Arial" w:cs="Arial"/>
          <w:b/>
          <w:bCs/>
          <w:kern w:val="0"/>
          <w:lang w:eastAsia="es-MX"/>
          <w14:ligatures w14:val="none"/>
        </w:rPr>
        <w:t xml:space="preserve"> </w:t>
      </w:r>
      <w:r w:rsidRPr="00A85A31">
        <w:rPr>
          <w:rFonts w:ascii="Arial" w:eastAsia="Times New Roman" w:hAnsi="Arial" w:cs="Arial"/>
          <w:kern w:val="0"/>
          <w:lang w:eastAsia="es-MX"/>
          <w14:ligatures w14:val="none"/>
        </w:rPr>
        <w:t>e</w:t>
      </w:r>
      <w:r w:rsidR="00A82D37" w:rsidRPr="00A85A31">
        <w:rPr>
          <w:rFonts w:ascii="Arial" w:eastAsia="Times New Roman" w:hAnsi="Arial" w:cs="Arial"/>
          <w:kern w:val="0"/>
          <w:lang w:eastAsia="es-MX"/>
          <w14:ligatures w14:val="none"/>
        </w:rPr>
        <w:t xml:space="preserve">l </w:t>
      </w:r>
      <w:r w:rsidR="00892C48" w:rsidRPr="00A85A31">
        <w:rPr>
          <w:rFonts w:ascii="Arial" w:eastAsia="Times New Roman" w:hAnsi="Arial" w:cs="Arial"/>
          <w:kern w:val="0"/>
          <w:lang w:eastAsia="es-MX"/>
          <w14:ligatures w14:val="none"/>
        </w:rPr>
        <w:t xml:space="preserve">real </w:t>
      </w:r>
      <w:r w:rsidR="00A82D37" w:rsidRPr="00A85A31">
        <w:rPr>
          <w:rFonts w:ascii="Arial" w:eastAsia="Times New Roman" w:hAnsi="Arial" w:cs="Arial"/>
          <w:kern w:val="0"/>
          <w:lang w:eastAsia="es-MX"/>
          <w14:ligatures w14:val="none"/>
        </w:rPr>
        <w:t>futuro de la educación universitaria no se juega en la cantidad de herramientas de IA que integre en sus plataformas, ni en cuántos semestres logre recortar de sus programas, ni en qué tan rápido entregue graduados al mercado. Se juega en su capacidad de formar personas que puedan hacer algo que ningún algoritmo hará por ellas: plantear preguntas que nadie ha formulado, imaginar soluciones para problemas que aún no tienen nombre, y sostener la incertidumbre sin paralizarse ni rendirse.</w:t>
      </w:r>
    </w:p>
    <w:p w14:paraId="17F9708D"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7589F397" w14:textId="02C69973"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Esto exige una universidad que investigue de manera constante y contextualizada, que </w:t>
      </w:r>
      <w:r w:rsidR="00045008" w:rsidRPr="00A85A31">
        <w:rPr>
          <w:rFonts w:ascii="Arial" w:eastAsia="Times New Roman" w:hAnsi="Arial" w:cs="Arial"/>
          <w:kern w:val="0"/>
          <w:lang w:eastAsia="es-MX"/>
          <w14:ligatures w14:val="none"/>
        </w:rPr>
        <w:t xml:space="preserve">se </w:t>
      </w:r>
      <w:r w:rsidRPr="00A85A31">
        <w:rPr>
          <w:rFonts w:ascii="Arial" w:eastAsia="Times New Roman" w:hAnsi="Arial" w:cs="Arial"/>
          <w:kern w:val="0"/>
          <w:lang w:eastAsia="es-MX"/>
          <w14:ligatures w14:val="none"/>
        </w:rPr>
        <w:t xml:space="preserve">valore al docente como intelectual y no como facilitador de contenidos empaquetados, </w:t>
      </w:r>
      <w:r w:rsidR="00045008" w:rsidRPr="00A85A31">
        <w:rPr>
          <w:rFonts w:ascii="Arial" w:eastAsia="Times New Roman" w:hAnsi="Arial" w:cs="Arial"/>
          <w:kern w:val="0"/>
          <w:lang w:eastAsia="es-MX"/>
          <w14:ligatures w14:val="none"/>
        </w:rPr>
        <w:t xml:space="preserve">por el contrario que conecte </w:t>
      </w:r>
      <w:r w:rsidR="00E4031C" w:rsidRPr="00A85A31">
        <w:rPr>
          <w:rFonts w:ascii="Arial" w:eastAsia="Times New Roman" w:hAnsi="Arial" w:cs="Arial"/>
          <w:kern w:val="0"/>
          <w:lang w:eastAsia="es-MX"/>
          <w14:ligatures w14:val="none"/>
        </w:rPr>
        <w:t>su contexto con el aula, capaz de crear experiencias significativas para los estudiantes</w:t>
      </w:r>
      <w:r w:rsidRPr="00A85A31">
        <w:rPr>
          <w:rFonts w:ascii="Arial" w:eastAsia="Times New Roman" w:hAnsi="Arial" w:cs="Arial"/>
          <w:kern w:val="0"/>
          <w:lang w:eastAsia="es-MX"/>
          <w14:ligatures w14:val="none"/>
        </w:rPr>
        <w:t>, y que entienda la formación del ser como su contribución más radical a una sociedad que, como nunca antes, necesita personas capaces de pensar por sí mismas.</w:t>
      </w:r>
    </w:p>
    <w:p w14:paraId="0689AEAC" w14:textId="77777777" w:rsidR="00A85A31" w:rsidRDefault="00A85A31" w:rsidP="00A85A31">
      <w:pPr>
        <w:spacing w:after="0" w:line="360" w:lineRule="auto"/>
        <w:jc w:val="both"/>
        <w:rPr>
          <w:rFonts w:ascii="Arial" w:eastAsia="Times New Roman" w:hAnsi="Arial" w:cs="Arial"/>
          <w:kern w:val="0"/>
          <w:lang w:eastAsia="es-MX"/>
          <w14:ligatures w14:val="none"/>
        </w:rPr>
      </w:pPr>
    </w:p>
    <w:p w14:paraId="3077CF5E" w14:textId="575F854D"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Delors tenía razón: la educación encierra un tesoro. Pero los tesoros hay que cuidarlos. Y el mayor riesgo que enfrenta hoy la universidad no es la inteligencia artificial, sino la tentación de vaciarse de sentido para adaptarse a una lógica que la reduce a proveedora de mano de obra calificada</w:t>
      </w:r>
      <w:r w:rsidR="00F80DED" w:rsidRPr="00A85A31">
        <w:rPr>
          <w:rFonts w:ascii="Arial" w:eastAsia="Times New Roman" w:hAnsi="Arial" w:cs="Arial"/>
          <w:kern w:val="0"/>
          <w:lang w:eastAsia="es-MX"/>
          <w14:ligatures w14:val="none"/>
        </w:rPr>
        <w:t xml:space="preserve"> a ritmos industriales</w:t>
      </w:r>
      <w:r w:rsidRPr="00A85A31">
        <w:rPr>
          <w:rFonts w:ascii="Arial" w:eastAsia="Times New Roman" w:hAnsi="Arial" w:cs="Arial"/>
          <w:kern w:val="0"/>
          <w:lang w:eastAsia="es-MX"/>
          <w14:ligatures w14:val="none"/>
        </w:rPr>
        <w:t xml:space="preserve">. Frente a esa </w:t>
      </w:r>
      <w:r w:rsidRPr="00A85A31">
        <w:rPr>
          <w:rFonts w:ascii="Arial" w:eastAsia="Times New Roman" w:hAnsi="Arial" w:cs="Arial"/>
          <w:kern w:val="0"/>
          <w:lang w:eastAsia="es-MX"/>
          <w14:ligatures w14:val="none"/>
        </w:rPr>
        <w:lastRenderedPageBreak/>
        <w:t>tentación, la mejor respuesta es la que González Serrano (2026) propone desde el aula: "Si no animamos a desarrollar la capacidad para decidir, otros decidirán por nosotros".</w:t>
      </w:r>
    </w:p>
    <w:p w14:paraId="47132927" w14:textId="77777777" w:rsidR="00A85A31" w:rsidRDefault="00A85A31" w:rsidP="00A85A31">
      <w:pPr>
        <w:spacing w:after="0" w:line="360" w:lineRule="auto"/>
        <w:jc w:val="both"/>
        <w:outlineLvl w:val="1"/>
        <w:rPr>
          <w:rFonts w:ascii="Arial" w:eastAsia="Times New Roman" w:hAnsi="Arial" w:cs="Arial"/>
          <w:b/>
          <w:bCs/>
          <w:kern w:val="0"/>
          <w:lang w:val="en-US" w:eastAsia="es-MX"/>
          <w14:ligatures w14:val="none"/>
        </w:rPr>
      </w:pPr>
    </w:p>
    <w:p w14:paraId="7F5B2335" w14:textId="6AFEABD6" w:rsidR="00A82D37" w:rsidRPr="00A85A31" w:rsidRDefault="00A82D37" w:rsidP="00A85A31">
      <w:pPr>
        <w:spacing w:after="0" w:line="360" w:lineRule="auto"/>
        <w:jc w:val="both"/>
        <w:outlineLvl w:val="1"/>
        <w:rPr>
          <w:rFonts w:ascii="Arial" w:eastAsia="Times New Roman" w:hAnsi="Arial" w:cs="Arial"/>
          <w:b/>
          <w:bCs/>
          <w:kern w:val="0"/>
          <w:lang w:val="en-US" w:eastAsia="es-MX"/>
          <w14:ligatures w14:val="none"/>
        </w:rPr>
      </w:pPr>
      <w:r w:rsidRPr="00A85A31">
        <w:rPr>
          <w:rFonts w:ascii="Arial" w:eastAsia="Times New Roman" w:hAnsi="Arial" w:cs="Arial"/>
          <w:b/>
          <w:bCs/>
          <w:kern w:val="0"/>
          <w:lang w:val="en-US" w:eastAsia="es-MX"/>
          <w14:ligatures w14:val="none"/>
        </w:rPr>
        <w:t>Referencias</w:t>
      </w:r>
    </w:p>
    <w:p w14:paraId="40FE8020" w14:textId="77777777" w:rsidR="00A85A31" w:rsidRDefault="00A85A31" w:rsidP="00A85A31">
      <w:pPr>
        <w:spacing w:after="0" w:line="360" w:lineRule="auto"/>
        <w:jc w:val="both"/>
        <w:rPr>
          <w:rFonts w:ascii="Arial" w:eastAsia="Times New Roman" w:hAnsi="Arial" w:cs="Arial"/>
          <w:kern w:val="0"/>
          <w:lang w:val="en-US" w:eastAsia="es-MX"/>
          <w14:ligatures w14:val="none"/>
        </w:rPr>
      </w:pPr>
    </w:p>
    <w:p w14:paraId="6662B531" w14:textId="451E931C"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val="en-US" w:eastAsia="es-MX"/>
          <w14:ligatures w14:val="none"/>
        </w:rPr>
        <w:t xml:space="preserve">AlBlooshi, S. (2026). Artificial intelligence in higher education, opportunities, and challenges: A review. </w:t>
      </w:r>
      <w:r w:rsidRPr="00A85A31">
        <w:rPr>
          <w:rFonts w:ascii="Arial" w:eastAsia="Times New Roman" w:hAnsi="Arial" w:cs="Arial"/>
          <w:i/>
          <w:iCs/>
          <w:kern w:val="0"/>
          <w:lang w:eastAsia="es-MX"/>
          <w14:ligatures w14:val="none"/>
        </w:rPr>
        <w:t>Frontiers in Education</w:t>
      </w:r>
      <w:r w:rsidRPr="00A85A31">
        <w:rPr>
          <w:rFonts w:ascii="Arial" w:eastAsia="Times New Roman" w:hAnsi="Arial" w:cs="Arial"/>
          <w:kern w:val="0"/>
          <w:lang w:eastAsia="es-MX"/>
          <w14:ligatures w14:val="none"/>
        </w:rPr>
        <w:t xml:space="preserve">, </w:t>
      </w:r>
      <w:r w:rsidRPr="00A85A31">
        <w:rPr>
          <w:rFonts w:ascii="Arial" w:eastAsia="Times New Roman" w:hAnsi="Arial" w:cs="Arial"/>
          <w:i/>
          <w:iCs/>
          <w:kern w:val="0"/>
          <w:lang w:eastAsia="es-MX"/>
          <w14:ligatures w14:val="none"/>
        </w:rPr>
        <w:t>10</w:t>
      </w:r>
      <w:r w:rsidRPr="00A85A31">
        <w:rPr>
          <w:rFonts w:ascii="Arial" w:eastAsia="Times New Roman" w:hAnsi="Arial" w:cs="Arial"/>
          <w:kern w:val="0"/>
          <w:lang w:eastAsia="es-MX"/>
          <w14:ligatures w14:val="none"/>
        </w:rPr>
        <w:t>, 1683968. https://doi.org/10.3389/feduc.2025.1683968</w:t>
      </w:r>
    </w:p>
    <w:p w14:paraId="73CE0C43" w14:textId="77777777"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Delors, J. (1996). </w:t>
      </w:r>
      <w:r w:rsidRPr="00A85A31">
        <w:rPr>
          <w:rFonts w:ascii="Arial" w:eastAsia="Times New Roman" w:hAnsi="Arial" w:cs="Arial"/>
          <w:i/>
          <w:iCs/>
          <w:kern w:val="0"/>
          <w:lang w:eastAsia="es-MX"/>
          <w14:ligatures w14:val="none"/>
        </w:rPr>
        <w:t>La educación encierra un tesoro. Informe a la UNESCO de la Comisión Internacional sobre la Educación para el Siglo XXI</w:t>
      </w:r>
      <w:r w:rsidRPr="00A85A31">
        <w:rPr>
          <w:rFonts w:ascii="Arial" w:eastAsia="Times New Roman" w:hAnsi="Arial" w:cs="Arial"/>
          <w:kern w:val="0"/>
          <w:lang w:eastAsia="es-MX"/>
          <w14:ligatures w14:val="none"/>
        </w:rPr>
        <w:t>. Santillana/UNESCO.</w:t>
      </w:r>
    </w:p>
    <w:p w14:paraId="42B96305" w14:textId="77777777"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eastAsia="es-MX"/>
          <w14:ligatures w14:val="none"/>
        </w:rPr>
        <w:t xml:space="preserve">González Serrano, C. J. (2026). </w:t>
      </w:r>
      <w:r w:rsidRPr="00A85A31">
        <w:rPr>
          <w:rFonts w:ascii="Arial" w:eastAsia="Times New Roman" w:hAnsi="Arial" w:cs="Arial"/>
          <w:i/>
          <w:iCs/>
          <w:kern w:val="0"/>
          <w:lang w:eastAsia="es-MX"/>
          <w14:ligatures w14:val="none"/>
        </w:rPr>
        <w:t>El aula insurgente</w:t>
      </w:r>
      <w:r w:rsidRPr="00A85A31">
        <w:rPr>
          <w:rFonts w:ascii="Arial" w:eastAsia="Times New Roman" w:hAnsi="Arial" w:cs="Arial"/>
          <w:kern w:val="0"/>
          <w:lang w:eastAsia="es-MX"/>
          <w14:ligatures w14:val="none"/>
        </w:rPr>
        <w:t>. Destino.</w:t>
      </w:r>
    </w:p>
    <w:p w14:paraId="5D189A3F" w14:textId="77777777" w:rsidR="00A82D37" w:rsidRPr="00A85A31" w:rsidRDefault="00A82D37" w:rsidP="00A85A31">
      <w:pPr>
        <w:spacing w:after="0" w:line="360" w:lineRule="auto"/>
        <w:jc w:val="both"/>
        <w:rPr>
          <w:rFonts w:ascii="Arial" w:eastAsia="Times New Roman" w:hAnsi="Arial" w:cs="Arial"/>
          <w:kern w:val="0"/>
          <w:lang w:val="en-US" w:eastAsia="es-MX"/>
          <w14:ligatures w14:val="none"/>
        </w:rPr>
      </w:pPr>
      <w:r w:rsidRPr="00A85A31">
        <w:rPr>
          <w:rFonts w:ascii="Arial" w:eastAsia="Times New Roman" w:hAnsi="Arial" w:cs="Arial"/>
          <w:kern w:val="0"/>
          <w:lang w:eastAsia="es-MX"/>
          <w14:ligatures w14:val="none"/>
        </w:rPr>
        <w:t xml:space="preserve">Nussbaum, M. (2010). </w:t>
      </w:r>
      <w:r w:rsidRPr="00A85A31">
        <w:rPr>
          <w:rFonts w:ascii="Arial" w:eastAsia="Times New Roman" w:hAnsi="Arial" w:cs="Arial"/>
          <w:i/>
          <w:iCs/>
          <w:kern w:val="0"/>
          <w:lang w:eastAsia="es-MX"/>
          <w14:ligatures w14:val="none"/>
        </w:rPr>
        <w:t>Sin fines de lucro. Por qué la democracia necesita de las humanidades</w:t>
      </w:r>
      <w:r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val="en-US" w:eastAsia="es-MX"/>
          <w14:ligatures w14:val="none"/>
        </w:rPr>
        <w:t>Katz Editores.</w:t>
      </w:r>
    </w:p>
    <w:p w14:paraId="13E23E27" w14:textId="77777777" w:rsidR="00A82D37" w:rsidRPr="00A85A31" w:rsidRDefault="00A82D37" w:rsidP="00A85A31">
      <w:pPr>
        <w:spacing w:after="0" w:line="360" w:lineRule="auto"/>
        <w:jc w:val="both"/>
        <w:rPr>
          <w:rFonts w:ascii="Arial" w:eastAsia="Times New Roman" w:hAnsi="Arial" w:cs="Arial"/>
          <w:kern w:val="0"/>
          <w:lang w:val="en-US" w:eastAsia="es-MX"/>
          <w14:ligatures w14:val="none"/>
        </w:rPr>
      </w:pPr>
      <w:r w:rsidRPr="00A85A31">
        <w:rPr>
          <w:rFonts w:ascii="Arial" w:eastAsia="Times New Roman" w:hAnsi="Arial" w:cs="Arial"/>
          <w:kern w:val="0"/>
          <w:lang w:val="en-US" w:eastAsia="es-MX"/>
          <w14:ligatures w14:val="none"/>
        </w:rPr>
        <w:t xml:space="preserve">OpenAI. (2026). </w:t>
      </w:r>
      <w:r w:rsidRPr="00A85A31">
        <w:rPr>
          <w:rFonts w:ascii="Arial" w:eastAsia="Times New Roman" w:hAnsi="Arial" w:cs="Arial"/>
          <w:i/>
          <w:iCs/>
          <w:kern w:val="0"/>
          <w:lang w:val="en-US" w:eastAsia="es-MX"/>
          <w14:ligatures w14:val="none"/>
        </w:rPr>
        <w:t>Industrial Policy for the Intelligence Age: Ideas to Keep People First</w:t>
      </w:r>
      <w:r w:rsidRPr="00A85A31">
        <w:rPr>
          <w:rFonts w:ascii="Arial" w:eastAsia="Times New Roman" w:hAnsi="Arial" w:cs="Arial"/>
          <w:kern w:val="0"/>
          <w:lang w:val="en-US" w:eastAsia="es-MX"/>
          <w14:ligatures w14:val="none"/>
        </w:rPr>
        <w:t>. https://cdn.openai.com/pdf/561e7512-253e-424b-9734-ef4098440601/Industrial%20Policy%20for%20the%20Intelligence%20Age.pdf</w:t>
      </w:r>
    </w:p>
    <w:p w14:paraId="69771AC8" w14:textId="77777777" w:rsidR="00A82D37"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val="pt-BR" w:eastAsia="es-MX"/>
          <w14:ligatures w14:val="none"/>
        </w:rPr>
        <w:t xml:space="preserve">Pireci Sejdiu, N. y Sejdiu, S. (2025). </w:t>
      </w:r>
      <w:r w:rsidRPr="00A85A31">
        <w:rPr>
          <w:rFonts w:ascii="Arial" w:eastAsia="Times New Roman" w:hAnsi="Arial" w:cs="Arial"/>
          <w:kern w:val="0"/>
          <w:lang w:val="en-US" w:eastAsia="es-MX"/>
          <w14:ligatures w14:val="none"/>
        </w:rPr>
        <w:t xml:space="preserve">The quiet transformation of higher education in the AI era. </w:t>
      </w:r>
      <w:r w:rsidRPr="00A85A31">
        <w:rPr>
          <w:rFonts w:ascii="Arial" w:eastAsia="Times New Roman" w:hAnsi="Arial" w:cs="Arial"/>
          <w:i/>
          <w:iCs/>
          <w:kern w:val="0"/>
          <w:lang w:eastAsia="es-MX"/>
          <w14:ligatures w14:val="none"/>
        </w:rPr>
        <w:t>Open Research Europe</w:t>
      </w:r>
      <w:r w:rsidRPr="00A85A31">
        <w:rPr>
          <w:rFonts w:ascii="Arial" w:eastAsia="Times New Roman" w:hAnsi="Arial" w:cs="Arial"/>
          <w:kern w:val="0"/>
          <w:lang w:eastAsia="es-MX"/>
          <w14:ligatures w14:val="none"/>
        </w:rPr>
        <w:t xml:space="preserve">, </w:t>
      </w:r>
      <w:r w:rsidRPr="00A85A31">
        <w:rPr>
          <w:rFonts w:ascii="Arial" w:eastAsia="Times New Roman" w:hAnsi="Arial" w:cs="Arial"/>
          <w:i/>
          <w:iCs/>
          <w:kern w:val="0"/>
          <w:lang w:eastAsia="es-MX"/>
          <w14:ligatures w14:val="none"/>
        </w:rPr>
        <w:t>5</w:t>
      </w:r>
      <w:r w:rsidRPr="00A85A31">
        <w:rPr>
          <w:rFonts w:ascii="Arial" w:eastAsia="Times New Roman" w:hAnsi="Arial" w:cs="Arial"/>
          <w:kern w:val="0"/>
          <w:lang w:eastAsia="es-MX"/>
          <w14:ligatures w14:val="none"/>
        </w:rPr>
        <w:t>, 249. https://doi.org/10.12688/openreseurope.20715.1</w:t>
      </w:r>
    </w:p>
    <w:p w14:paraId="194B68D7" w14:textId="77777777" w:rsidR="00A82D37" w:rsidRPr="00A85A31" w:rsidRDefault="00A82D37" w:rsidP="00A85A31">
      <w:pPr>
        <w:spacing w:after="0" w:line="360" w:lineRule="auto"/>
        <w:jc w:val="both"/>
        <w:rPr>
          <w:rFonts w:ascii="Arial" w:eastAsia="Times New Roman" w:hAnsi="Arial" w:cs="Arial"/>
          <w:kern w:val="0"/>
          <w:lang w:val="en-US" w:eastAsia="es-MX"/>
          <w14:ligatures w14:val="none"/>
        </w:rPr>
      </w:pPr>
      <w:r w:rsidRPr="00A85A31">
        <w:rPr>
          <w:rFonts w:ascii="Arial" w:eastAsia="Times New Roman" w:hAnsi="Arial" w:cs="Arial"/>
          <w:kern w:val="0"/>
          <w:lang w:eastAsia="es-MX"/>
          <w14:ligatures w14:val="none"/>
        </w:rPr>
        <w:t xml:space="preserve">Salvayre, L. (2026). </w:t>
      </w:r>
      <w:r w:rsidRPr="00A85A31">
        <w:rPr>
          <w:rFonts w:ascii="Arial" w:eastAsia="Times New Roman" w:hAnsi="Arial" w:cs="Arial"/>
          <w:i/>
          <w:iCs/>
          <w:kern w:val="0"/>
          <w:lang w:eastAsia="es-MX"/>
          <w14:ligatures w14:val="none"/>
        </w:rPr>
        <w:t>¡Nos gustan los domingos!</w:t>
      </w:r>
      <w:r w:rsidRPr="00A85A31">
        <w:rPr>
          <w:rFonts w:ascii="Arial" w:eastAsia="Times New Roman" w:hAnsi="Arial" w:cs="Arial"/>
          <w:kern w:val="0"/>
          <w:lang w:eastAsia="es-MX"/>
          <w14:ligatures w14:val="none"/>
        </w:rPr>
        <w:t xml:space="preserve"> </w:t>
      </w:r>
      <w:r w:rsidRPr="00A85A31">
        <w:rPr>
          <w:rFonts w:ascii="Arial" w:eastAsia="Times New Roman" w:hAnsi="Arial" w:cs="Arial"/>
          <w:kern w:val="0"/>
          <w:lang w:val="en-US" w:eastAsia="es-MX"/>
          <w14:ligatures w14:val="none"/>
        </w:rPr>
        <w:t>Desvelo Ediciones.</w:t>
      </w:r>
    </w:p>
    <w:p w14:paraId="0587B3DF" w14:textId="78E57418" w:rsidR="004F2998" w:rsidRPr="00A85A31" w:rsidRDefault="00A82D37" w:rsidP="00A85A31">
      <w:pPr>
        <w:spacing w:after="0" w:line="360" w:lineRule="auto"/>
        <w:jc w:val="both"/>
        <w:rPr>
          <w:rFonts w:ascii="Arial" w:eastAsia="Times New Roman" w:hAnsi="Arial" w:cs="Arial"/>
          <w:kern w:val="0"/>
          <w:lang w:eastAsia="es-MX"/>
          <w14:ligatures w14:val="none"/>
        </w:rPr>
      </w:pPr>
      <w:r w:rsidRPr="00A85A31">
        <w:rPr>
          <w:rFonts w:ascii="Arial" w:eastAsia="Times New Roman" w:hAnsi="Arial" w:cs="Arial"/>
          <w:kern w:val="0"/>
          <w:lang w:val="en-US" w:eastAsia="es-MX"/>
          <w14:ligatures w14:val="none"/>
        </w:rPr>
        <w:t xml:space="preserve">UNESCO. (2021). </w:t>
      </w:r>
      <w:r w:rsidRPr="00A85A31">
        <w:rPr>
          <w:rFonts w:ascii="Arial" w:eastAsia="Times New Roman" w:hAnsi="Arial" w:cs="Arial"/>
          <w:i/>
          <w:iCs/>
          <w:kern w:val="0"/>
          <w:lang w:val="en-US" w:eastAsia="es-MX"/>
          <w14:ligatures w14:val="none"/>
        </w:rPr>
        <w:t>Reimagining our futures together: A new social contract for education</w:t>
      </w:r>
      <w:r w:rsidRPr="00A85A31">
        <w:rPr>
          <w:rFonts w:ascii="Arial" w:eastAsia="Times New Roman" w:hAnsi="Arial" w:cs="Arial"/>
          <w:kern w:val="0"/>
          <w:lang w:val="en-US" w:eastAsia="es-MX"/>
          <w14:ligatures w14:val="none"/>
        </w:rPr>
        <w:t xml:space="preserve">. </w:t>
      </w:r>
      <w:r w:rsidRPr="00A85A31">
        <w:rPr>
          <w:rFonts w:ascii="Arial" w:eastAsia="Times New Roman" w:hAnsi="Arial" w:cs="Arial"/>
          <w:kern w:val="0"/>
          <w:lang w:eastAsia="es-MX"/>
          <w14:ligatures w14:val="none"/>
        </w:rPr>
        <w:t>UNESCO. https://unesdoc.unesco.org/ark:/48223/pf0000379381</w:t>
      </w:r>
      <w:bookmarkStart w:id="0" w:name="_GoBack"/>
      <w:bookmarkEnd w:id="0"/>
    </w:p>
    <w:sectPr w:rsidR="004F2998" w:rsidRPr="00A85A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E63E" w14:textId="77777777" w:rsidR="00D10648" w:rsidRDefault="00D10648" w:rsidP="00A85A31">
      <w:pPr>
        <w:spacing w:after="0" w:line="240" w:lineRule="auto"/>
      </w:pPr>
      <w:r>
        <w:separator/>
      </w:r>
    </w:p>
  </w:endnote>
  <w:endnote w:type="continuationSeparator" w:id="0">
    <w:p w14:paraId="1642B2F6" w14:textId="77777777" w:rsidR="00D10648" w:rsidRDefault="00D10648" w:rsidP="00A8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E4F3F" w14:textId="77777777" w:rsidR="00D10648" w:rsidRDefault="00D10648" w:rsidP="00A85A31">
      <w:pPr>
        <w:spacing w:after="0" w:line="240" w:lineRule="auto"/>
      </w:pPr>
      <w:r>
        <w:separator/>
      </w:r>
    </w:p>
  </w:footnote>
  <w:footnote w:type="continuationSeparator" w:id="0">
    <w:p w14:paraId="50367F3B" w14:textId="77777777" w:rsidR="00D10648" w:rsidRDefault="00D10648" w:rsidP="00A85A31">
      <w:pPr>
        <w:spacing w:after="0" w:line="240" w:lineRule="auto"/>
      </w:pPr>
      <w:r>
        <w:continuationSeparator/>
      </w:r>
    </w:p>
  </w:footnote>
  <w:footnote w:id="1">
    <w:p w14:paraId="18E30344" w14:textId="563D8755" w:rsidR="00A85A31" w:rsidRPr="00A85A31" w:rsidRDefault="00A85A31" w:rsidP="00A85A31">
      <w:pPr>
        <w:pStyle w:val="Textonotapie"/>
        <w:spacing w:line="360" w:lineRule="auto"/>
        <w:jc w:val="both"/>
        <w:rPr>
          <w:rFonts w:ascii="Arial" w:hAnsi="Arial" w:cs="Arial"/>
          <w:lang w:val="en-US"/>
        </w:rPr>
      </w:pPr>
      <w:r w:rsidRPr="00A85A31">
        <w:rPr>
          <w:rStyle w:val="Refdenotaalpie"/>
          <w:rFonts w:ascii="Arial" w:hAnsi="Arial" w:cs="Arial"/>
        </w:rPr>
        <w:sym w:font="Symbol" w:char="F02A"/>
      </w:r>
      <w:r w:rsidRPr="00A85A31">
        <w:rPr>
          <w:rFonts w:ascii="Arial" w:hAnsi="Arial" w:cs="Arial"/>
          <w:lang w:val="en-US"/>
        </w:rPr>
        <w:t xml:space="preserve"> </w:t>
      </w:r>
      <w:r w:rsidRPr="00A85A31">
        <w:rPr>
          <w:rFonts w:ascii="Arial" w:hAnsi="Arial" w:cs="Arial"/>
          <w:lang w:val="en-US"/>
        </w:rPr>
        <w:t>CEIPA by powered Arizona State University, Sabaneta, Colombia. E-mail:</w:t>
      </w:r>
      <w:r>
        <w:rPr>
          <w:rFonts w:ascii="Arial" w:hAnsi="Arial" w:cs="Arial"/>
          <w:lang w:val="en-US"/>
        </w:rPr>
        <w:t xml:space="preserve"> </w:t>
      </w:r>
      <w:hyperlink r:id="rId1" w:history="1">
        <w:r w:rsidRPr="005E4086">
          <w:rPr>
            <w:rStyle w:val="Hipervnculo"/>
            <w:rFonts w:ascii="Arial" w:hAnsi="Arial" w:cs="Arial"/>
            <w:lang w:val="en-US"/>
          </w:rPr>
          <w:t>daniel.bonilla@ceipa.edu.co</w:t>
        </w:r>
      </w:hyperlink>
      <w:r>
        <w:rPr>
          <w:rFonts w:ascii="Arial" w:hAnsi="Arial" w:cs="Arial"/>
          <w:lang w:val="en-US"/>
        </w:rPr>
        <w:t xml:space="preserve">. ORCID: </w:t>
      </w:r>
      <w:r w:rsidRPr="00A85A31">
        <w:rPr>
          <w:rFonts w:ascii="Arial" w:hAnsi="Arial" w:cs="Arial"/>
          <w:lang w:val="en-US"/>
        </w:rPr>
        <w:t>0000-0002-2009-9824</w:t>
      </w:r>
      <w:r>
        <w:rPr>
          <w:rFonts w:ascii="Arial" w:hAnsi="Arial" w:cs="Arial"/>
          <w:lang w:val="en-US"/>
        </w:rPr>
        <w:t xml:space="preserve">. Google Scholar: </w:t>
      </w:r>
      <w:hyperlink r:id="rId2" w:history="1">
        <w:r w:rsidRPr="005E4086">
          <w:rPr>
            <w:rStyle w:val="Hipervnculo"/>
            <w:rFonts w:ascii="Arial" w:hAnsi="Arial" w:cs="Arial"/>
            <w:lang w:val="en-US"/>
          </w:rPr>
          <w:t>https://scholar.google.com/citations?hl=fr&amp;user=2EnJlqAAAAAJ&amp;view_op=list_works</w:t>
        </w:r>
      </w:hyperlink>
      <w:r>
        <w:rPr>
          <w:rFonts w:ascii="Arial" w:hAnsi="Arial" w:cs="Arial"/>
          <w:lang w:val="en-US"/>
        </w:rPr>
        <w:t xml:space="preserve">. Scopus Author ID: </w:t>
      </w:r>
      <w:hyperlink r:id="rId3" w:history="1">
        <w:r w:rsidRPr="005E4086">
          <w:rPr>
            <w:rStyle w:val="Hipervnculo"/>
            <w:rFonts w:ascii="Arial" w:hAnsi="Arial" w:cs="Arial"/>
            <w:lang w:val="en-US"/>
          </w:rPr>
          <w:t>https://www.scopus.com/authid/detail.uri?authorId=57222260296</w:t>
        </w:r>
      </w:hyperlink>
      <w:r>
        <w:rPr>
          <w:rFonts w:ascii="Arial" w:hAnsi="Arial" w:cs="Arial"/>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37"/>
    <w:rsid w:val="00045008"/>
    <w:rsid w:val="00086B34"/>
    <w:rsid w:val="000A7C7E"/>
    <w:rsid w:val="00101DDB"/>
    <w:rsid w:val="00116615"/>
    <w:rsid w:val="0011790F"/>
    <w:rsid w:val="0012024A"/>
    <w:rsid w:val="00151207"/>
    <w:rsid w:val="00172675"/>
    <w:rsid w:val="00207344"/>
    <w:rsid w:val="0022729A"/>
    <w:rsid w:val="002D1400"/>
    <w:rsid w:val="003017AD"/>
    <w:rsid w:val="00334C17"/>
    <w:rsid w:val="00370610"/>
    <w:rsid w:val="0038346E"/>
    <w:rsid w:val="003B38D3"/>
    <w:rsid w:val="003E29A1"/>
    <w:rsid w:val="00402717"/>
    <w:rsid w:val="004354E0"/>
    <w:rsid w:val="00485A85"/>
    <w:rsid w:val="004C37F5"/>
    <w:rsid w:val="004F2998"/>
    <w:rsid w:val="005C330A"/>
    <w:rsid w:val="006331EA"/>
    <w:rsid w:val="00696C0A"/>
    <w:rsid w:val="00787F62"/>
    <w:rsid w:val="00892C48"/>
    <w:rsid w:val="00910EE6"/>
    <w:rsid w:val="00995966"/>
    <w:rsid w:val="00A82D37"/>
    <w:rsid w:val="00A85A31"/>
    <w:rsid w:val="00B058D7"/>
    <w:rsid w:val="00BC4A8F"/>
    <w:rsid w:val="00C37DB3"/>
    <w:rsid w:val="00D10648"/>
    <w:rsid w:val="00D978FC"/>
    <w:rsid w:val="00DA459C"/>
    <w:rsid w:val="00DB697E"/>
    <w:rsid w:val="00E33984"/>
    <w:rsid w:val="00E4031C"/>
    <w:rsid w:val="00F56CD3"/>
    <w:rsid w:val="00F80DED"/>
    <w:rsid w:val="00F97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A3DF"/>
  <w15:chartTrackingRefBased/>
  <w15:docId w15:val="{F1235288-356E-714C-94FE-5CBA90C6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2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82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2D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2D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2D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2D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2D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2D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2D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D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82D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2D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2D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2D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2D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2D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2D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2D37"/>
    <w:rPr>
      <w:rFonts w:eastAsiaTheme="majorEastAsia" w:cstheme="majorBidi"/>
      <w:color w:val="272727" w:themeColor="text1" w:themeTint="D8"/>
    </w:rPr>
  </w:style>
  <w:style w:type="paragraph" w:styleId="Ttulo">
    <w:name w:val="Title"/>
    <w:basedOn w:val="Normal"/>
    <w:next w:val="Normal"/>
    <w:link w:val="TtuloCar"/>
    <w:uiPriority w:val="10"/>
    <w:qFormat/>
    <w:rsid w:val="00A82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2D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2D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2D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2D37"/>
    <w:pPr>
      <w:spacing w:before="160"/>
      <w:jc w:val="center"/>
    </w:pPr>
    <w:rPr>
      <w:i/>
      <w:iCs/>
      <w:color w:val="404040" w:themeColor="text1" w:themeTint="BF"/>
    </w:rPr>
  </w:style>
  <w:style w:type="character" w:customStyle="1" w:styleId="CitaCar">
    <w:name w:val="Cita Car"/>
    <w:basedOn w:val="Fuentedeprrafopredeter"/>
    <w:link w:val="Cita"/>
    <w:uiPriority w:val="29"/>
    <w:rsid w:val="00A82D37"/>
    <w:rPr>
      <w:i/>
      <w:iCs/>
      <w:color w:val="404040" w:themeColor="text1" w:themeTint="BF"/>
    </w:rPr>
  </w:style>
  <w:style w:type="paragraph" w:styleId="Prrafodelista">
    <w:name w:val="List Paragraph"/>
    <w:basedOn w:val="Normal"/>
    <w:uiPriority w:val="34"/>
    <w:qFormat/>
    <w:rsid w:val="00A82D37"/>
    <w:pPr>
      <w:ind w:left="720"/>
      <w:contextualSpacing/>
    </w:pPr>
  </w:style>
  <w:style w:type="character" w:styleId="nfasisintenso">
    <w:name w:val="Intense Emphasis"/>
    <w:basedOn w:val="Fuentedeprrafopredeter"/>
    <w:uiPriority w:val="21"/>
    <w:qFormat/>
    <w:rsid w:val="00A82D37"/>
    <w:rPr>
      <w:i/>
      <w:iCs/>
      <w:color w:val="0F4761" w:themeColor="accent1" w:themeShade="BF"/>
    </w:rPr>
  </w:style>
  <w:style w:type="paragraph" w:styleId="Citadestacada">
    <w:name w:val="Intense Quote"/>
    <w:basedOn w:val="Normal"/>
    <w:next w:val="Normal"/>
    <w:link w:val="CitadestacadaCar"/>
    <w:uiPriority w:val="30"/>
    <w:qFormat/>
    <w:rsid w:val="00A82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2D37"/>
    <w:rPr>
      <w:i/>
      <w:iCs/>
      <w:color w:val="0F4761" w:themeColor="accent1" w:themeShade="BF"/>
    </w:rPr>
  </w:style>
  <w:style w:type="character" w:styleId="Referenciaintensa">
    <w:name w:val="Intense Reference"/>
    <w:basedOn w:val="Fuentedeprrafopredeter"/>
    <w:uiPriority w:val="32"/>
    <w:qFormat/>
    <w:rsid w:val="00A82D37"/>
    <w:rPr>
      <w:b/>
      <w:bCs/>
      <w:smallCaps/>
      <w:color w:val="0F4761" w:themeColor="accent1" w:themeShade="BF"/>
      <w:spacing w:val="5"/>
    </w:rPr>
  </w:style>
  <w:style w:type="paragraph" w:styleId="NormalWeb">
    <w:name w:val="Normal (Web)"/>
    <w:basedOn w:val="Normal"/>
    <w:uiPriority w:val="99"/>
    <w:semiHidden/>
    <w:unhideWhenUsed/>
    <w:rsid w:val="00A82D3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A82D37"/>
    <w:rPr>
      <w:b/>
      <w:bCs/>
    </w:rPr>
  </w:style>
  <w:style w:type="character" w:styleId="nfasis">
    <w:name w:val="Emphasis"/>
    <w:basedOn w:val="Fuentedeprrafopredeter"/>
    <w:uiPriority w:val="20"/>
    <w:qFormat/>
    <w:rsid w:val="00A82D37"/>
    <w:rPr>
      <w:i/>
      <w:iCs/>
    </w:rPr>
  </w:style>
  <w:style w:type="paragraph" w:styleId="Textonotapie">
    <w:name w:val="footnote text"/>
    <w:basedOn w:val="Normal"/>
    <w:link w:val="TextonotapieCar"/>
    <w:uiPriority w:val="99"/>
    <w:semiHidden/>
    <w:unhideWhenUsed/>
    <w:rsid w:val="00A85A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5A31"/>
    <w:rPr>
      <w:sz w:val="20"/>
      <w:szCs w:val="20"/>
    </w:rPr>
  </w:style>
  <w:style w:type="character" w:styleId="Refdenotaalpie">
    <w:name w:val="footnote reference"/>
    <w:basedOn w:val="Fuentedeprrafopredeter"/>
    <w:uiPriority w:val="99"/>
    <w:semiHidden/>
    <w:unhideWhenUsed/>
    <w:rsid w:val="00A85A31"/>
    <w:rPr>
      <w:vertAlign w:val="superscript"/>
    </w:rPr>
  </w:style>
  <w:style w:type="character" w:styleId="Hipervnculo">
    <w:name w:val="Hyperlink"/>
    <w:basedOn w:val="Fuentedeprrafopredeter"/>
    <w:uiPriority w:val="99"/>
    <w:unhideWhenUsed/>
    <w:rsid w:val="00A85A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copus.com/authid/detail.uri?authorId=57222260296" TargetMode="External"/><Relationship Id="rId2" Type="http://schemas.openxmlformats.org/officeDocument/2006/relationships/hyperlink" Target="https://scholar.google.com/citations?hl=fr&amp;user=2EnJlqAAAAAJ&amp;view_op=list_works" TargetMode="External"/><Relationship Id="rId1" Type="http://schemas.openxmlformats.org/officeDocument/2006/relationships/hyperlink" Target="mailto:daniel.bonilla@ceip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79F07F-31C9-4039-A5D5-E4E2D5D8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1995</Words>
  <Characters>11374</Characters>
  <Application>Microsoft Office Word</Application>
  <DocSecurity>0</DocSecurity>
  <Lines>94</Lines>
  <Paragraphs>26</Paragraphs>
  <ScaleCrop>false</ScaleCrop>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BONILLA CALLE</dc:creator>
  <cp:keywords/>
  <dc:description/>
  <cp:lastModifiedBy>Asus</cp:lastModifiedBy>
  <cp:revision>41</cp:revision>
  <dcterms:created xsi:type="dcterms:W3CDTF">2026-04-20T21:30:00Z</dcterms:created>
  <dcterms:modified xsi:type="dcterms:W3CDTF">2026-04-23T15:25:00Z</dcterms:modified>
</cp:coreProperties>
</file>